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елопроизводитель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Fonts w:ascii="Times New Roman" w:eastAsia="Times New Roman" w:hAnsi="Times New Roman" w:cs="Times New Roman"/>
          <w:sz w:val="27"/>
          <w:szCs w:val="27"/>
        </w:rPr>
        <w:t>108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829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736 91</w:t>
      </w:r>
      <w:r>
        <w:rPr>
          <w:rFonts w:ascii="Times New Roman" w:eastAsia="Times New Roman" w:hAnsi="Times New Roman" w:cs="Times New Roman"/>
          <w:sz w:val="27"/>
          <w:szCs w:val="27"/>
        </w:rPr>
        <w:t>). 15.01.2025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страхователю направлен 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0132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7"/>
          <w:szCs w:val="27"/>
        </w:rPr>
        <w:t>20.01.2025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 22 имени </w:t>
      </w:r>
      <w:r>
        <w:rPr>
          <w:rFonts w:ascii="Times New Roman" w:eastAsia="Times New Roman" w:hAnsi="Times New Roman" w:cs="Times New Roman"/>
          <w:sz w:val="28"/>
          <w:szCs w:val="28"/>
        </w:rPr>
        <w:t>Г.Ф.Пономарева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0132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предоставлении страхователем сведений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29.11 КоАП РФ,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Заведеева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824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811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